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E2E" w:rsidRDefault="00122E2E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EB1094" w:rsidRPr="00205E91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124CCA">
        <w:rPr>
          <w:rFonts w:ascii="Times New Roman" w:hAnsi="Times New Roman" w:cs="Times New Roman"/>
          <w:b/>
          <w:sz w:val="24"/>
          <w:szCs w:val="24"/>
        </w:rPr>
        <w:t>Технической комиссии ПТ</w:t>
      </w:r>
      <w:bookmarkStart w:id="0" w:name="_GoBack"/>
      <w:bookmarkEnd w:id="0"/>
      <w:r w:rsidR="00124CCA" w:rsidRPr="00205E91">
        <w:rPr>
          <w:rFonts w:ascii="Times New Roman" w:hAnsi="Times New Roman" w:cs="Times New Roman"/>
          <w:b/>
          <w:sz w:val="24"/>
          <w:szCs w:val="24"/>
        </w:rPr>
        <w:t>О-</w:t>
      </w:r>
      <w:r w:rsidR="007D41BB" w:rsidRPr="00205E91">
        <w:rPr>
          <w:rFonts w:ascii="Times New Roman" w:hAnsi="Times New Roman" w:cs="Times New Roman"/>
          <w:b/>
          <w:sz w:val="24"/>
          <w:szCs w:val="24"/>
        </w:rPr>
        <w:t>3</w:t>
      </w:r>
      <w:r w:rsidR="00BD6703" w:rsidRPr="00205E91">
        <w:rPr>
          <w:rFonts w:ascii="Times New Roman" w:hAnsi="Times New Roman" w:cs="Times New Roman"/>
          <w:b/>
          <w:sz w:val="24"/>
          <w:szCs w:val="24"/>
        </w:rPr>
        <w:t>4</w:t>
      </w:r>
      <w:r w:rsidR="00EB5844" w:rsidRPr="00205E91">
        <w:rPr>
          <w:rFonts w:ascii="Times New Roman" w:hAnsi="Times New Roman" w:cs="Times New Roman"/>
          <w:b/>
          <w:sz w:val="24"/>
          <w:szCs w:val="24"/>
        </w:rPr>
        <w:t>/202</w:t>
      </w:r>
      <w:r w:rsidR="00D92CD4" w:rsidRPr="00205E91">
        <w:rPr>
          <w:rFonts w:ascii="Times New Roman" w:hAnsi="Times New Roman" w:cs="Times New Roman"/>
          <w:b/>
          <w:sz w:val="24"/>
          <w:szCs w:val="24"/>
        </w:rPr>
        <w:t>5</w:t>
      </w:r>
    </w:p>
    <w:p w:rsidR="00EB1094" w:rsidRPr="00A12D75" w:rsidRDefault="00124CCA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5E9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5E91" w:rsidRPr="00205E91"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="00205E91" w:rsidRPr="00205E91">
        <w:rPr>
          <w:rFonts w:ascii="Times New Roman" w:hAnsi="Times New Roman" w:cs="Times New Roman"/>
          <w:b/>
          <w:sz w:val="24"/>
          <w:szCs w:val="24"/>
        </w:rPr>
        <w:t>.</w:t>
      </w:r>
      <w:r w:rsidR="007D41BB" w:rsidRPr="00205E91">
        <w:rPr>
          <w:rFonts w:ascii="Times New Roman" w:hAnsi="Times New Roman" w:cs="Times New Roman"/>
          <w:b/>
          <w:sz w:val="24"/>
          <w:szCs w:val="24"/>
        </w:rPr>
        <w:t>09</w:t>
      </w:r>
      <w:r w:rsidRPr="00205E91">
        <w:rPr>
          <w:rFonts w:ascii="Times New Roman" w:hAnsi="Times New Roman" w:cs="Times New Roman"/>
          <w:b/>
          <w:sz w:val="24"/>
          <w:szCs w:val="24"/>
        </w:rPr>
        <w:t>.202</w:t>
      </w:r>
      <w:r w:rsidR="00D92CD4" w:rsidRPr="00205E91">
        <w:rPr>
          <w:rFonts w:ascii="Times New Roman" w:hAnsi="Times New Roman" w:cs="Times New Roman"/>
          <w:b/>
          <w:sz w:val="24"/>
          <w:szCs w:val="24"/>
        </w:rPr>
        <w:t>5</w:t>
      </w:r>
      <w:r w:rsidR="00EB1094" w:rsidRPr="00205E9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Pr="00A12D75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E51DA" w:rsidRPr="00A12D75">
        <w:rPr>
          <w:rFonts w:ascii="Times New Roman" w:hAnsi="Times New Roman" w:cs="Times New Roman"/>
          <w:b/>
          <w:sz w:val="24"/>
          <w:szCs w:val="24"/>
        </w:rPr>
        <w:t xml:space="preserve">шаблонов </w:t>
      </w: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0C1A8F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202</w:t>
      </w:r>
      <w:r w:rsidR="00D92CD4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A12D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A12D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A12D75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A12D75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A12D75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A12D75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A12D75">
        <w:rPr>
          <w:rFonts w:ascii="Times New Roman" w:hAnsi="Times New Roman" w:cs="Times New Roman"/>
          <w:sz w:val="24"/>
          <w:szCs w:val="24"/>
        </w:rPr>
        <w:t>поставку</w:t>
      </w:r>
      <w:r w:rsidR="002F4843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6E51DA" w:rsidRPr="00A12D75">
        <w:rPr>
          <w:rFonts w:ascii="Times New Roman" w:hAnsi="Times New Roman" w:cs="Times New Roman"/>
          <w:sz w:val="24"/>
          <w:szCs w:val="24"/>
        </w:rPr>
        <w:t>шаблонов</w:t>
      </w:r>
    </w:p>
    <w:p w:rsidR="00792DDE" w:rsidRPr="00A12D75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1</w:t>
      </w:r>
      <w:r w:rsidR="00792DDE"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 w:rsidR="00C166D2">
        <w:rPr>
          <w:rFonts w:ascii="Times New Roman" w:hAnsi="Times New Roman" w:cs="Times New Roman"/>
          <w:sz w:val="24"/>
          <w:szCs w:val="24"/>
        </w:rPr>
        <w:t xml:space="preserve"> </w:t>
      </w:r>
      <w:r w:rsidR="00C166D2" w:rsidRPr="00C166D2">
        <w:rPr>
          <w:rFonts w:ascii="Times New Roman" w:hAnsi="Times New Roman" w:cs="Times New Roman"/>
          <w:sz w:val="24"/>
          <w:szCs w:val="24"/>
        </w:rPr>
        <w:t>алюминиевы</w:t>
      </w:r>
      <w:r w:rsidR="00C166D2">
        <w:rPr>
          <w:rFonts w:ascii="Times New Roman" w:hAnsi="Times New Roman" w:cs="Times New Roman"/>
          <w:sz w:val="24"/>
          <w:szCs w:val="24"/>
        </w:rPr>
        <w:t>х шаблонов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33"/>
        <w:gridCol w:w="1799"/>
        <w:gridCol w:w="1225"/>
        <w:gridCol w:w="1906"/>
        <w:gridCol w:w="3082"/>
      </w:tblGrid>
      <w:tr w:rsidR="00C166D2" w:rsidRPr="00A12D75" w:rsidTr="00C166D2">
        <w:trPr>
          <w:trHeight w:val="1386"/>
        </w:trPr>
        <w:tc>
          <w:tcPr>
            <w:tcW w:w="1733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1799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225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мм,</w:t>
            </w:r>
          </w:p>
        </w:tc>
        <w:tc>
          <w:tcPr>
            <w:tcW w:w="1906" w:type="dxa"/>
            <w:shd w:val="clear" w:color="auto" w:fill="FBD4B4" w:themeFill="accent6" w:themeFillTint="66"/>
            <w:vAlign w:val="center"/>
          </w:tcPr>
          <w:p w:rsidR="00C166D2" w:rsidRPr="00A12D75" w:rsidRDefault="00C166D2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  <w:tc>
          <w:tcPr>
            <w:tcW w:w="3082" w:type="dxa"/>
            <w:shd w:val="clear" w:color="auto" w:fill="FBD4B4" w:themeFill="accent6" w:themeFillTint="66"/>
            <w:vAlign w:val="center"/>
          </w:tcPr>
          <w:p w:rsidR="00C166D2" w:rsidRDefault="00C166D2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7D1045" w:rsidRPr="00A12D75" w:rsidTr="007D1045">
        <w:trPr>
          <w:trHeight w:val="850"/>
        </w:trPr>
        <w:tc>
          <w:tcPr>
            <w:tcW w:w="1733" w:type="dxa"/>
            <w:shd w:val="clear" w:color="auto" w:fill="auto"/>
            <w:vAlign w:val="center"/>
          </w:tcPr>
          <w:p w:rsidR="007D1045" w:rsidRPr="00072A74" w:rsidRDefault="007D1045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ОК-426х10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1045" w:rsidRPr="00072A74" w:rsidRDefault="007D1045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225" w:type="dxa"/>
            <w:vMerge w:val="restart"/>
            <w:shd w:val="clear" w:color="auto" w:fill="auto"/>
            <w:vAlign w:val="center"/>
          </w:tcPr>
          <w:p w:rsidR="007D1045" w:rsidRPr="00072A74" w:rsidRDefault="007D1045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06" w:type="dxa"/>
            <w:vMerge w:val="restart"/>
            <w:vAlign w:val="center"/>
          </w:tcPr>
          <w:p w:rsidR="007D1045" w:rsidRPr="00A12D75" w:rsidRDefault="007D1045" w:rsidP="00C166D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3082" w:type="dxa"/>
            <w:vMerge w:val="restart"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приварной (допускается иное соединение по усмотрению Подрядчика) рукояти с торцевой (верхней) поверхности шаблона для удобства использования. Внешний контур рукояти не должен быть больше диаметра рабочей поверхности.</w:t>
            </w:r>
          </w:p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045" w:rsidRPr="009979AF" w:rsidRDefault="003B1C1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конструктивные элементы шаблона должны быть жестко закреплены методом сварки</w:t>
            </w:r>
            <w:r w:rsidR="007D1045">
              <w:rPr>
                <w:rFonts w:ascii="Times New Roman" w:hAnsi="Times New Roman" w:cs="Times New Roman"/>
                <w:sz w:val="24"/>
                <w:szCs w:val="24"/>
              </w:rPr>
              <w:t>, без соединительных элементов (гаек, болтов и т.п.)</w:t>
            </w:r>
          </w:p>
        </w:tc>
      </w:tr>
      <w:tr w:rsidR="007D1045" w:rsidRPr="00A12D75" w:rsidTr="007D1045">
        <w:trPr>
          <w:trHeight w:val="850"/>
        </w:trPr>
        <w:tc>
          <w:tcPr>
            <w:tcW w:w="1733" w:type="dxa"/>
            <w:shd w:val="clear" w:color="auto" w:fill="auto"/>
            <w:vAlign w:val="center"/>
          </w:tcPr>
          <w:p w:rsidR="007D1045" w:rsidRPr="00072A74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ОК-245х7,9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1045" w:rsidRPr="00072A74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</w:tc>
        <w:tc>
          <w:tcPr>
            <w:tcW w:w="1225" w:type="dxa"/>
            <w:vMerge/>
            <w:shd w:val="clear" w:color="auto" w:fill="auto"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45" w:rsidRPr="00A12D75" w:rsidTr="007D1045">
        <w:trPr>
          <w:trHeight w:val="850"/>
        </w:trPr>
        <w:tc>
          <w:tcPr>
            <w:tcW w:w="1733" w:type="dxa"/>
            <w:shd w:val="clear" w:color="auto" w:fill="auto"/>
            <w:vAlign w:val="center"/>
          </w:tcPr>
          <w:p w:rsidR="007D1045" w:rsidRPr="00072A74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ОК-245х8,9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1045" w:rsidRPr="00072A74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223,2</w:t>
            </w:r>
          </w:p>
        </w:tc>
        <w:tc>
          <w:tcPr>
            <w:tcW w:w="1225" w:type="dxa"/>
            <w:vMerge/>
            <w:shd w:val="clear" w:color="auto" w:fill="auto"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45" w:rsidRPr="00A12D75" w:rsidTr="007D1045">
        <w:trPr>
          <w:trHeight w:val="850"/>
        </w:trPr>
        <w:tc>
          <w:tcPr>
            <w:tcW w:w="1733" w:type="dxa"/>
            <w:shd w:val="clear" w:color="auto" w:fill="auto"/>
            <w:vAlign w:val="center"/>
          </w:tcPr>
          <w:p w:rsidR="007D1045" w:rsidRPr="00A12D7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ОК-178х9,2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1225" w:type="dxa"/>
            <w:vMerge w:val="restart"/>
            <w:shd w:val="clear" w:color="auto" w:fill="auto"/>
            <w:vAlign w:val="center"/>
          </w:tcPr>
          <w:p w:rsidR="007D1045" w:rsidRPr="00A12D7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06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45" w:rsidRPr="00A12D75" w:rsidTr="007D1045">
        <w:trPr>
          <w:trHeight w:val="850"/>
        </w:trPr>
        <w:tc>
          <w:tcPr>
            <w:tcW w:w="1733" w:type="dxa"/>
            <w:shd w:val="clear" w:color="auto" w:fill="auto"/>
            <w:vAlign w:val="center"/>
          </w:tcPr>
          <w:p w:rsidR="007D1045" w:rsidRPr="00A12D7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ОК-168х8,9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225" w:type="dxa"/>
            <w:vMerge/>
            <w:shd w:val="clear" w:color="auto" w:fill="auto"/>
            <w:vAlign w:val="center"/>
          </w:tcPr>
          <w:p w:rsidR="007D1045" w:rsidRPr="00A12D7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</w:tcPr>
          <w:p w:rsidR="007D1045" w:rsidRDefault="007D1045" w:rsidP="007D41B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21" w:rsidRPr="00A12D75" w:rsidTr="00603E21">
        <w:trPr>
          <w:trHeight w:val="454"/>
        </w:trPr>
        <w:tc>
          <w:tcPr>
            <w:tcW w:w="1733" w:type="dxa"/>
            <w:shd w:val="clear" w:color="auto" w:fill="auto"/>
            <w:vAlign w:val="center"/>
          </w:tcPr>
          <w:p w:rsidR="00603E21" w:rsidRDefault="00603E21" w:rsidP="00603E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НКТ-60х5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603E21" w:rsidRDefault="00603E21" w:rsidP="00603E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03E21" w:rsidRPr="00A12D75" w:rsidRDefault="00603E21" w:rsidP="00603E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906" w:type="dxa"/>
            <w:vAlign w:val="center"/>
          </w:tcPr>
          <w:p w:rsidR="00603E21" w:rsidRDefault="00603E21" w:rsidP="00603E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  <w:tc>
          <w:tcPr>
            <w:tcW w:w="3082" w:type="dxa"/>
            <w:vAlign w:val="center"/>
          </w:tcPr>
          <w:p w:rsidR="00603E21" w:rsidRDefault="003B1C15" w:rsidP="00603E2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конструктивные элементы шаблона должны быть жестко закреплены методом сварки, без соединительных элементов (гаек, болтов и т.п.)</w:t>
            </w:r>
          </w:p>
        </w:tc>
      </w:tr>
    </w:tbl>
    <w:p w:rsidR="00841444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6D2" w:rsidRPr="00A12D75" w:rsidRDefault="00C166D2" w:rsidP="00C166D2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полимерных шаблонов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1749"/>
        <w:gridCol w:w="1171"/>
        <w:gridCol w:w="2401"/>
        <w:gridCol w:w="2741"/>
      </w:tblGrid>
      <w:tr w:rsidR="008441AD" w:rsidRPr="00A12D75" w:rsidTr="008441AD">
        <w:trPr>
          <w:trHeight w:val="1386"/>
        </w:trPr>
        <w:tc>
          <w:tcPr>
            <w:tcW w:w="1683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171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, мм, не </w:t>
            </w:r>
            <w:r w:rsidR="007D1045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</w:p>
        </w:tc>
        <w:tc>
          <w:tcPr>
            <w:tcW w:w="2401" w:type="dxa"/>
            <w:shd w:val="clear" w:color="auto" w:fill="FBD4B4" w:themeFill="accent6" w:themeFillTint="66"/>
            <w:vAlign w:val="center"/>
          </w:tcPr>
          <w:p w:rsidR="008441AD" w:rsidRPr="00A12D75" w:rsidRDefault="008441AD" w:rsidP="00AE29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  <w:tc>
          <w:tcPr>
            <w:tcW w:w="2741" w:type="dxa"/>
            <w:shd w:val="clear" w:color="auto" w:fill="FBD4B4" w:themeFill="accent6" w:themeFillTint="66"/>
            <w:vAlign w:val="center"/>
          </w:tcPr>
          <w:p w:rsidR="008441AD" w:rsidRDefault="008441AD" w:rsidP="008441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</w:tr>
      <w:tr w:rsidR="00672D33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672D33" w:rsidRPr="00072A74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ТБТ-127х25,4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  <w:p w:rsidR="00672D33" w:rsidRPr="00072A74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2D33" w:rsidRPr="00A12D75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 w:val="restart"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егкоразбуриваемый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полимерный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полиуретан, 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нейлон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1" w:type="dxa"/>
            <w:vMerge w:val="restart"/>
            <w:vAlign w:val="center"/>
          </w:tcPr>
          <w:p w:rsidR="00672D33" w:rsidRPr="00A207AB" w:rsidRDefault="00E9187D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сердечника из алюминиевого сплава для утяжеления шаблона</w:t>
            </w:r>
          </w:p>
        </w:tc>
      </w:tr>
      <w:tr w:rsidR="00672D33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672D33" w:rsidRPr="00C166D2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СБТ-127х9,19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2D33" w:rsidRPr="00A12D75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D33" w:rsidRPr="00A12D75" w:rsidTr="008441AD">
        <w:trPr>
          <w:trHeight w:val="277"/>
        </w:trPr>
        <w:tc>
          <w:tcPr>
            <w:tcW w:w="1683" w:type="dxa"/>
            <w:shd w:val="clear" w:color="auto" w:fill="auto"/>
            <w:vAlign w:val="center"/>
          </w:tcPr>
          <w:p w:rsidR="00672D33" w:rsidRPr="00C166D2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6D2">
              <w:rPr>
                <w:rFonts w:ascii="Times New Roman" w:hAnsi="Times New Roman" w:cs="Times New Roman"/>
                <w:sz w:val="24"/>
                <w:szCs w:val="24"/>
              </w:rPr>
              <w:t>СБТ-102х8,38 ТБТ-102х19,85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72D33" w:rsidRPr="00A12D75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1" w:type="dxa"/>
            <w:vMerge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</w:tcPr>
          <w:p w:rsidR="00672D33" w:rsidRDefault="00672D33" w:rsidP="00672D33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C15" w:rsidRDefault="003B1C1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C15" w:rsidRDefault="003B1C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696F" w:rsidRPr="00A12D75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4B3D6A">
        <w:rPr>
          <w:rFonts w:ascii="Times New Roman" w:hAnsi="Times New Roman" w:cs="Times New Roman"/>
          <w:sz w:val="24"/>
          <w:szCs w:val="24"/>
        </w:rPr>
        <w:t>3</w:t>
      </w:r>
      <w:r w:rsidR="000A696F" w:rsidRPr="00A12D75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A12D75">
        <w:rPr>
          <w:rFonts w:ascii="Times New Roman" w:hAnsi="Times New Roman" w:cs="Times New Roman"/>
          <w:sz w:val="24"/>
          <w:szCs w:val="24"/>
        </w:rPr>
        <w:t>р</w:t>
      </w:r>
      <w:r w:rsidR="000A696F" w:rsidRPr="00A12D75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A12D75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12D75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C8679F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E9187D" w:rsidRDefault="00072A74" w:rsidP="006C02DD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 материала должны обеспечивать: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1.  Сохранение наружного диаметра шаблона в температурном диапазоне от - 60°C до +100°C,  при нагрузках  на шаблон до 200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кг;</w:t>
            </w:r>
          </w:p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2. Обеспечение целостности внутреннего покрытия бурильных труб при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шаблонировании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C8679F" w:rsidRPr="00A12D75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3. Твердость по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Шору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- 90...95А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072A74" w:rsidRPr="00A12D75" w:rsidTr="00072A74">
        <w:trPr>
          <w:trHeight w:val="397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A12D75" w:rsidRDefault="00072A74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клеймению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На наружной поверхности шаблона на расстоянии 100 … 150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мм от торца наносится маркировка глубиной 0,5-1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мм шрифтом 6-Пр3 или 8-Пр3 ГОСТ 26.020: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тип шаблона (типоразмер шаблона);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товарный знак предприятия изготовителя;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дата изготовления (месяц – год); </w:t>
            </w:r>
          </w:p>
          <w:p w:rsidR="00072A74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- заводской номер</w:t>
            </w:r>
            <w:r w:rsid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 (индивидуально каждому изделию)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93274E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A12D75" w:rsidRDefault="00EC12D5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93274E" w:rsidRPr="00A12D75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Pr="00EC12D5" w:rsidRDefault="0093274E" w:rsidP="0084144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EC12D5" w:rsidRPr="006C7A94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</w:pPr>
            <w:r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- Оригинал паспорта</w:t>
            </w:r>
            <w:r w:rsidR="006C7A94"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 (</w:t>
            </w:r>
            <w:r w:rsid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индивидуальный </w:t>
            </w:r>
            <w:r w:rsidR="006C7A94"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для каждого изделия</w:t>
            </w:r>
            <w:r w:rsid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 с привязкой к заводскому номеру)</w:t>
            </w:r>
            <w:r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 на материал;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с указанием всех размеров</w:t>
            </w:r>
            <w:r w:rsidR="004B3D6A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и места нанесения маркировочного клейма</w:t>
            </w:r>
            <w:r w:rsidR="006C7A9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(допускается в составе паспорта)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 по эксплуатации</w:t>
            </w:r>
            <w:r w:rsidR="006C7A9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(допускается в составе паспорта);</w:t>
            </w:r>
          </w:p>
          <w:p w:rsidR="0093274E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</w:t>
            </w:r>
            <w:r w:rsidR="006C7A9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(допускается в составе паспорта)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6C7A94" w:rsidRPr="00A12D75" w:rsidTr="006C7A94">
        <w:trPr>
          <w:trHeight w:val="800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7A94" w:rsidRPr="006C7A94" w:rsidRDefault="006C7A94" w:rsidP="006C7A94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</w:pPr>
            <w:bookmarkStart w:id="1" w:name="_Hlk209442130"/>
            <w:r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 xml:space="preserve">Окончательные размеры, варианты конструкции </w:t>
            </w:r>
            <w:r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согласовыва</w:t>
            </w:r>
            <w:r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ю</w:t>
            </w:r>
            <w:r w:rsidRPr="006C7A94">
              <w:rPr>
                <w:rFonts w:ascii="Times New Roman" w:eastAsia="OpenSans-Light" w:hAnsi="Times New Roman" w:cs="Times New Roman"/>
                <w:b/>
                <w:sz w:val="24"/>
                <w:szCs w:val="24"/>
              </w:rPr>
              <w:t>тся с Покупателем перед изготовлением</w:t>
            </w:r>
            <w:bookmarkEnd w:id="1"/>
          </w:p>
        </w:tc>
      </w:tr>
    </w:tbl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274E" w:rsidRPr="00A12D75" w:rsidRDefault="00EC12D5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82975" cy="132778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A94" w:rsidRPr="00A12D75" w:rsidRDefault="0093274E" w:rsidP="006C7A94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Рисунок 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6C7A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Вариант изготовления ш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аблон</w:t>
      </w:r>
      <w:r w:rsidR="006C7A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БТ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ОК</w:t>
      </w:r>
    </w:p>
    <w:sectPr w:rsidR="006C7A94" w:rsidRPr="00A12D75" w:rsidSect="00EC12D5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1FC" w:rsidRDefault="000E01FC" w:rsidP="004441A0">
      <w:pPr>
        <w:spacing w:after="0" w:line="240" w:lineRule="auto"/>
      </w:pPr>
      <w:r>
        <w:separator/>
      </w:r>
    </w:p>
  </w:endnote>
  <w:end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1FC" w:rsidRDefault="000E01FC" w:rsidP="004441A0">
      <w:pPr>
        <w:spacing w:after="0" w:line="240" w:lineRule="auto"/>
      </w:pPr>
      <w:r>
        <w:separator/>
      </w:r>
    </w:p>
  </w:footnote>
  <w:foot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5598"/>
    <w:rsid w:val="0001022A"/>
    <w:rsid w:val="00016AA7"/>
    <w:rsid w:val="0001789F"/>
    <w:rsid w:val="00025330"/>
    <w:rsid w:val="00030FDD"/>
    <w:rsid w:val="00054ED0"/>
    <w:rsid w:val="00061700"/>
    <w:rsid w:val="0006661B"/>
    <w:rsid w:val="00072A74"/>
    <w:rsid w:val="00073A29"/>
    <w:rsid w:val="00074C95"/>
    <w:rsid w:val="000806D9"/>
    <w:rsid w:val="00081702"/>
    <w:rsid w:val="00082F86"/>
    <w:rsid w:val="00083B5C"/>
    <w:rsid w:val="00083F1E"/>
    <w:rsid w:val="0008609C"/>
    <w:rsid w:val="00087D28"/>
    <w:rsid w:val="000928AA"/>
    <w:rsid w:val="00094087"/>
    <w:rsid w:val="000A361F"/>
    <w:rsid w:val="000A424A"/>
    <w:rsid w:val="000A696F"/>
    <w:rsid w:val="000B52B3"/>
    <w:rsid w:val="000B78F9"/>
    <w:rsid w:val="000C1A8F"/>
    <w:rsid w:val="000C665D"/>
    <w:rsid w:val="000C6D1A"/>
    <w:rsid w:val="000C7F3F"/>
    <w:rsid w:val="000E01FC"/>
    <w:rsid w:val="000E6F09"/>
    <w:rsid w:val="000F0B38"/>
    <w:rsid w:val="001011B9"/>
    <w:rsid w:val="00101D64"/>
    <w:rsid w:val="00110546"/>
    <w:rsid w:val="00116EE6"/>
    <w:rsid w:val="00122E2E"/>
    <w:rsid w:val="00124CCA"/>
    <w:rsid w:val="00127568"/>
    <w:rsid w:val="00132CF7"/>
    <w:rsid w:val="00142B60"/>
    <w:rsid w:val="00143FF6"/>
    <w:rsid w:val="00146ECA"/>
    <w:rsid w:val="00152D94"/>
    <w:rsid w:val="0015656C"/>
    <w:rsid w:val="0016539E"/>
    <w:rsid w:val="001653C6"/>
    <w:rsid w:val="001815DF"/>
    <w:rsid w:val="001865DE"/>
    <w:rsid w:val="001922FF"/>
    <w:rsid w:val="00193885"/>
    <w:rsid w:val="001950C2"/>
    <w:rsid w:val="00195B33"/>
    <w:rsid w:val="001A283C"/>
    <w:rsid w:val="001A7609"/>
    <w:rsid w:val="001B179C"/>
    <w:rsid w:val="001B3F69"/>
    <w:rsid w:val="001D22FF"/>
    <w:rsid w:val="001D50B3"/>
    <w:rsid w:val="001E1D9C"/>
    <w:rsid w:val="001E568B"/>
    <w:rsid w:val="001E636C"/>
    <w:rsid w:val="001F5897"/>
    <w:rsid w:val="00205E91"/>
    <w:rsid w:val="0023131A"/>
    <w:rsid w:val="002360EF"/>
    <w:rsid w:val="00236286"/>
    <w:rsid w:val="002448BE"/>
    <w:rsid w:val="002463A3"/>
    <w:rsid w:val="00252B9A"/>
    <w:rsid w:val="0025606F"/>
    <w:rsid w:val="0026120B"/>
    <w:rsid w:val="002653C0"/>
    <w:rsid w:val="002709C6"/>
    <w:rsid w:val="00276032"/>
    <w:rsid w:val="002812D2"/>
    <w:rsid w:val="00281D08"/>
    <w:rsid w:val="002A7728"/>
    <w:rsid w:val="002B6D98"/>
    <w:rsid w:val="002C138C"/>
    <w:rsid w:val="002C4C84"/>
    <w:rsid w:val="002D2C2B"/>
    <w:rsid w:val="002F0E7C"/>
    <w:rsid w:val="002F4454"/>
    <w:rsid w:val="002F4843"/>
    <w:rsid w:val="00317D05"/>
    <w:rsid w:val="003267A3"/>
    <w:rsid w:val="00326BA1"/>
    <w:rsid w:val="00351DB8"/>
    <w:rsid w:val="00363230"/>
    <w:rsid w:val="0037155B"/>
    <w:rsid w:val="00371635"/>
    <w:rsid w:val="0037653A"/>
    <w:rsid w:val="00392146"/>
    <w:rsid w:val="00394B26"/>
    <w:rsid w:val="00394EA3"/>
    <w:rsid w:val="003B0371"/>
    <w:rsid w:val="003B11C8"/>
    <w:rsid w:val="003B1C15"/>
    <w:rsid w:val="003B2F94"/>
    <w:rsid w:val="003C34A3"/>
    <w:rsid w:val="003D652D"/>
    <w:rsid w:val="003E453A"/>
    <w:rsid w:val="003F7014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907F3"/>
    <w:rsid w:val="0049158E"/>
    <w:rsid w:val="00495CC5"/>
    <w:rsid w:val="00496D8E"/>
    <w:rsid w:val="004A506A"/>
    <w:rsid w:val="004A5D14"/>
    <w:rsid w:val="004B3D6A"/>
    <w:rsid w:val="004B7A62"/>
    <w:rsid w:val="004C6869"/>
    <w:rsid w:val="004E071F"/>
    <w:rsid w:val="004E0F8F"/>
    <w:rsid w:val="004E13E2"/>
    <w:rsid w:val="004E5140"/>
    <w:rsid w:val="00503048"/>
    <w:rsid w:val="0051168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6C97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0B5F"/>
    <w:rsid w:val="005A77D4"/>
    <w:rsid w:val="005B155B"/>
    <w:rsid w:val="005B3C25"/>
    <w:rsid w:val="005C67C1"/>
    <w:rsid w:val="005C7946"/>
    <w:rsid w:val="005D1B72"/>
    <w:rsid w:val="005D52B4"/>
    <w:rsid w:val="005D52E2"/>
    <w:rsid w:val="00603BB9"/>
    <w:rsid w:val="00603E21"/>
    <w:rsid w:val="00615800"/>
    <w:rsid w:val="00616682"/>
    <w:rsid w:val="00616F74"/>
    <w:rsid w:val="0061793F"/>
    <w:rsid w:val="00621AC5"/>
    <w:rsid w:val="00626859"/>
    <w:rsid w:val="00627416"/>
    <w:rsid w:val="00633484"/>
    <w:rsid w:val="00634121"/>
    <w:rsid w:val="006357DC"/>
    <w:rsid w:val="00635835"/>
    <w:rsid w:val="00636B6F"/>
    <w:rsid w:val="006404F7"/>
    <w:rsid w:val="006501D7"/>
    <w:rsid w:val="00652DDB"/>
    <w:rsid w:val="00672D33"/>
    <w:rsid w:val="0068328E"/>
    <w:rsid w:val="00685510"/>
    <w:rsid w:val="00687D1D"/>
    <w:rsid w:val="0069745C"/>
    <w:rsid w:val="006A0C2B"/>
    <w:rsid w:val="006A2412"/>
    <w:rsid w:val="006A48DE"/>
    <w:rsid w:val="006B34CC"/>
    <w:rsid w:val="006B4353"/>
    <w:rsid w:val="006B5A1E"/>
    <w:rsid w:val="006C02DD"/>
    <w:rsid w:val="006C6DCC"/>
    <w:rsid w:val="006C7A94"/>
    <w:rsid w:val="006D11F2"/>
    <w:rsid w:val="006D4926"/>
    <w:rsid w:val="006D7B82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585C"/>
    <w:rsid w:val="0075621F"/>
    <w:rsid w:val="00756AE6"/>
    <w:rsid w:val="0075726B"/>
    <w:rsid w:val="007657C9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D0304"/>
    <w:rsid w:val="007D1045"/>
    <w:rsid w:val="007D41BB"/>
    <w:rsid w:val="007D6A69"/>
    <w:rsid w:val="007E53CF"/>
    <w:rsid w:val="007F21F3"/>
    <w:rsid w:val="007F42B6"/>
    <w:rsid w:val="007F5A3A"/>
    <w:rsid w:val="008071A1"/>
    <w:rsid w:val="00812452"/>
    <w:rsid w:val="00812A6B"/>
    <w:rsid w:val="00841444"/>
    <w:rsid w:val="008441AD"/>
    <w:rsid w:val="00850A36"/>
    <w:rsid w:val="008563FB"/>
    <w:rsid w:val="00857C99"/>
    <w:rsid w:val="008846FC"/>
    <w:rsid w:val="008960DB"/>
    <w:rsid w:val="00896398"/>
    <w:rsid w:val="00897DB7"/>
    <w:rsid w:val="008B08FB"/>
    <w:rsid w:val="008B53BC"/>
    <w:rsid w:val="008C334E"/>
    <w:rsid w:val="008D01D3"/>
    <w:rsid w:val="008D39ED"/>
    <w:rsid w:val="008D3AA7"/>
    <w:rsid w:val="008D4203"/>
    <w:rsid w:val="008E1FB8"/>
    <w:rsid w:val="008E7D9D"/>
    <w:rsid w:val="008F2F92"/>
    <w:rsid w:val="0091099F"/>
    <w:rsid w:val="00920E05"/>
    <w:rsid w:val="00921228"/>
    <w:rsid w:val="0093274E"/>
    <w:rsid w:val="009359CC"/>
    <w:rsid w:val="009523F3"/>
    <w:rsid w:val="00954784"/>
    <w:rsid w:val="009605EF"/>
    <w:rsid w:val="00960838"/>
    <w:rsid w:val="009617CD"/>
    <w:rsid w:val="00962A97"/>
    <w:rsid w:val="00981362"/>
    <w:rsid w:val="00981DDB"/>
    <w:rsid w:val="00986768"/>
    <w:rsid w:val="00992343"/>
    <w:rsid w:val="00996B9E"/>
    <w:rsid w:val="009979AF"/>
    <w:rsid w:val="009A0A2E"/>
    <w:rsid w:val="009A5663"/>
    <w:rsid w:val="009B555B"/>
    <w:rsid w:val="009B5794"/>
    <w:rsid w:val="009B60B3"/>
    <w:rsid w:val="009D1D0C"/>
    <w:rsid w:val="009D691C"/>
    <w:rsid w:val="009E1329"/>
    <w:rsid w:val="009E1CF7"/>
    <w:rsid w:val="00A12D75"/>
    <w:rsid w:val="00A207AB"/>
    <w:rsid w:val="00A21024"/>
    <w:rsid w:val="00A30858"/>
    <w:rsid w:val="00A33C80"/>
    <w:rsid w:val="00A351B3"/>
    <w:rsid w:val="00A44C69"/>
    <w:rsid w:val="00A55339"/>
    <w:rsid w:val="00A616BC"/>
    <w:rsid w:val="00A61FBD"/>
    <w:rsid w:val="00A71BDD"/>
    <w:rsid w:val="00A72475"/>
    <w:rsid w:val="00A806A7"/>
    <w:rsid w:val="00A85F0B"/>
    <w:rsid w:val="00AA532C"/>
    <w:rsid w:val="00AB06B5"/>
    <w:rsid w:val="00AB26DE"/>
    <w:rsid w:val="00AB2C55"/>
    <w:rsid w:val="00AB40A7"/>
    <w:rsid w:val="00AB4B00"/>
    <w:rsid w:val="00AC01A0"/>
    <w:rsid w:val="00AD39DF"/>
    <w:rsid w:val="00AD48A1"/>
    <w:rsid w:val="00AE298D"/>
    <w:rsid w:val="00B004A2"/>
    <w:rsid w:val="00B14D09"/>
    <w:rsid w:val="00B239B2"/>
    <w:rsid w:val="00B265AC"/>
    <w:rsid w:val="00B268B9"/>
    <w:rsid w:val="00B42742"/>
    <w:rsid w:val="00B4623A"/>
    <w:rsid w:val="00B5015F"/>
    <w:rsid w:val="00B54A71"/>
    <w:rsid w:val="00B67226"/>
    <w:rsid w:val="00B754E7"/>
    <w:rsid w:val="00B948E6"/>
    <w:rsid w:val="00BA520F"/>
    <w:rsid w:val="00BA57BE"/>
    <w:rsid w:val="00BB181E"/>
    <w:rsid w:val="00BD5697"/>
    <w:rsid w:val="00BD5DA7"/>
    <w:rsid w:val="00BD6703"/>
    <w:rsid w:val="00BE3BA7"/>
    <w:rsid w:val="00C03030"/>
    <w:rsid w:val="00C13352"/>
    <w:rsid w:val="00C166D2"/>
    <w:rsid w:val="00C1767E"/>
    <w:rsid w:val="00C219BF"/>
    <w:rsid w:val="00C22E73"/>
    <w:rsid w:val="00C30FFE"/>
    <w:rsid w:val="00C32F84"/>
    <w:rsid w:val="00C33256"/>
    <w:rsid w:val="00C3673B"/>
    <w:rsid w:val="00C36C84"/>
    <w:rsid w:val="00C471DF"/>
    <w:rsid w:val="00C50132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31F8"/>
    <w:rsid w:val="00C95C1E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AB5"/>
    <w:rsid w:val="00CD7E8F"/>
    <w:rsid w:val="00CF008D"/>
    <w:rsid w:val="00CF6700"/>
    <w:rsid w:val="00D023A7"/>
    <w:rsid w:val="00D03E72"/>
    <w:rsid w:val="00D12951"/>
    <w:rsid w:val="00D418AC"/>
    <w:rsid w:val="00D46668"/>
    <w:rsid w:val="00D501A7"/>
    <w:rsid w:val="00D537BC"/>
    <w:rsid w:val="00D55987"/>
    <w:rsid w:val="00D623EE"/>
    <w:rsid w:val="00D6788F"/>
    <w:rsid w:val="00D72487"/>
    <w:rsid w:val="00D8733A"/>
    <w:rsid w:val="00D904D8"/>
    <w:rsid w:val="00D92CD4"/>
    <w:rsid w:val="00D9535D"/>
    <w:rsid w:val="00DA6EBB"/>
    <w:rsid w:val="00DB00A0"/>
    <w:rsid w:val="00DB03ED"/>
    <w:rsid w:val="00DB7947"/>
    <w:rsid w:val="00DC1E36"/>
    <w:rsid w:val="00DC70CC"/>
    <w:rsid w:val="00DD05A1"/>
    <w:rsid w:val="00DE20CC"/>
    <w:rsid w:val="00DE4CB1"/>
    <w:rsid w:val="00DF1B4D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02D6"/>
    <w:rsid w:val="00E36F47"/>
    <w:rsid w:val="00E373DF"/>
    <w:rsid w:val="00E41652"/>
    <w:rsid w:val="00E41B38"/>
    <w:rsid w:val="00E41EF8"/>
    <w:rsid w:val="00E50091"/>
    <w:rsid w:val="00E54898"/>
    <w:rsid w:val="00E548A9"/>
    <w:rsid w:val="00E55FEC"/>
    <w:rsid w:val="00E67D0C"/>
    <w:rsid w:val="00E7190B"/>
    <w:rsid w:val="00E750CE"/>
    <w:rsid w:val="00E75F84"/>
    <w:rsid w:val="00E85E62"/>
    <w:rsid w:val="00E9187D"/>
    <w:rsid w:val="00E96B65"/>
    <w:rsid w:val="00EA07B7"/>
    <w:rsid w:val="00EA22E4"/>
    <w:rsid w:val="00EA7283"/>
    <w:rsid w:val="00EA74BC"/>
    <w:rsid w:val="00EB1094"/>
    <w:rsid w:val="00EB2760"/>
    <w:rsid w:val="00EB5844"/>
    <w:rsid w:val="00EB649C"/>
    <w:rsid w:val="00EB772E"/>
    <w:rsid w:val="00EC12D5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36D"/>
    <w:rsid w:val="00F42110"/>
    <w:rsid w:val="00F4323F"/>
    <w:rsid w:val="00F43917"/>
    <w:rsid w:val="00F51714"/>
    <w:rsid w:val="00F82A6C"/>
    <w:rsid w:val="00F8428A"/>
    <w:rsid w:val="00F85EE8"/>
    <w:rsid w:val="00F87F0D"/>
    <w:rsid w:val="00F90326"/>
    <w:rsid w:val="00F91F67"/>
    <w:rsid w:val="00FA1E31"/>
    <w:rsid w:val="00FA6425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C952"/>
  <w15:docId w15:val="{0B7D37F1-F369-4F06-A1B7-B8938EA8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8505B-8EC3-4ADF-BB71-03DD8B48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Карпов Роман Викторович</cp:lastModifiedBy>
  <cp:revision>214</cp:revision>
  <cp:lastPrinted>2019-05-29T01:57:00Z</cp:lastPrinted>
  <dcterms:created xsi:type="dcterms:W3CDTF">2020-04-22T02:43:00Z</dcterms:created>
  <dcterms:modified xsi:type="dcterms:W3CDTF">2025-09-29T04:30:00Z</dcterms:modified>
</cp:coreProperties>
</file>